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ИСР 1.3 СОПОСТАВИТЕЛЬНЫЙ АНАЛИЗ ИЗУЧЕННЫХ ИСТОЧНИКОВ </w:t>
      </w:r>
    </w:p>
    <w:p w:rsidR="00000000" w:rsidDel="00000000" w:rsidP="00000000" w:rsidRDefault="00000000" w:rsidRPr="00000000" w14:paraId="00000002">
      <w:pPr>
        <w:pStyle w:val="Heading1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Выполнил: Салаватов М.В.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Тема: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Использование интернета вещей для организации электронного обучения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ВВЕДЕНИЕ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рамках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исследования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проведен анализ 50+ научных источников из авторитетных баз данных (Scopus, Web of Science, ScienceDirect, Google Scholar, ERIC, JSTOR), включая монографии, статьи в рецензируемых журналах, тезисы конференций и практические руководства.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Целью сопоставительного анализа является: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Выявление основных научно-исследовательских направлений в области IoT и e-learning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Определение различных подходов к исследованию проблемы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Выявление согласованности или противоречивости выводов разных авторов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 Определение вклада каждого источника в разработку проблемы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1. КЛАССИФИКАЦИЯ ИСТОЧНИКОВ ПО ТИПАМ ИССЛЕДОВАНИЙ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1.1 Систематическое рецензирование</w:t>
      </w:r>
      <w:r w:rsidDel="00000000" w:rsidR="00000000" w:rsidRPr="00000000">
        <w:rPr>
          <w:rtl w:val="0"/>
        </w:rPr>
      </w:r>
    </w:p>
    <w:tbl>
      <w:tblPr>
        <w:tblStyle w:val="Table1"/>
        <w:tblW w:w="99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0"/>
        <w:gridCol w:w="1020"/>
        <w:gridCol w:w="1650"/>
        <w:gridCol w:w="2415"/>
        <w:gridCol w:w="2595"/>
        <w:tblGridChange w:id="0">
          <w:tblGrid>
            <w:gridCol w:w="2220"/>
            <w:gridCol w:w="1020"/>
            <w:gridCol w:w="1650"/>
            <w:gridCol w:w="2415"/>
            <w:gridCol w:w="2595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Автор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Год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Выборка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Основной вывод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Актуальность</w:t>
            </w:r>
          </w:p>
        </w:tc>
      </w:tr>
      <w:tr>
        <w:trPr>
          <w:cantSplit w:val="0"/>
          <w:trHeight w:val="243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Alfoudari et al.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2021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105 исследований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IoT требует интеграции социальных и технологических аспектов в дизайне умных классов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Фундаментальное, критическое</w:t>
            </w:r>
          </w:p>
        </w:tc>
      </w:tr>
      <w:tr>
        <w:trPr>
          <w:cantSplit w:val="0"/>
          <w:trHeight w:val="211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Emerald Insight (Систематический обзор)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2023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11 исследований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IoT повышает качество обучения, но требует подготовки преподавателей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Высокая актуальность для ВО</w:t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Hasan et al.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2025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Обзор 2018-2023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Инновации IoT трансформируют образовательные среды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Современное состояние</w:t>
            </w:r>
          </w:p>
        </w:tc>
      </w:tr>
      <w:tr>
        <w:trPr>
          <w:cantSplit w:val="0"/>
          <w:trHeight w:val="211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Ataker et al. (Meta-analysis)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2024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13 журналов (2020-2023)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Средний размер эффекта = 0.95 (высокий), значительное влияние IoT на образование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Количественное доказательство</w:t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Значимость: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Систематические обзоры обеспечивают наиболее убедительные доказательства, так как объединяют результаты множества первичных исследований и минимизируют риск систематических ошибок.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1.2 Архитектурные и технические исследования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30"/>
        <w:gridCol w:w="1755"/>
        <w:gridCol w:w="2160"/>
        <w:gridCol w:w="3090"/>
        <w:tblGridChange w:id="0">
          <w:tblGrid>
            <w:gridCol w:w="2430"/>
            <w:gridCol w:w="1755"/>
            <w:gridCol w:w="2160"/>
            <w:gridCol w:w="3090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Категория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Ключевые источники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Фокус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Практическая ценность</w:t>
            </w:r>
          </w:p>
        </w:tc>
      </w:tr>
      <w:tr>
        <w:trPr>
          <w:cantSplit w:val="0"/>
          <w:trHeight w:val="180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Многоуровневые архитектуры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Mowade (2024), Sun et al. (2025)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Perception-Network-Middleware-Application-Business слои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Высокая - применимо к проектированию систем</w:t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Машинное обучение в оценке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KUEY (2024), Kabudi (2021)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Адаптивные системы оценивания с ML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Высокая - доказано улучшение результатов</w:t>
            </w:r>
          </w:p>
        </w:tc>
      </w:tr>
      <w:tr>
        <w:trPr>
          <w:cantSplit w:val="0"/>
          <w:trHeight w:val="180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Умные классы (Smart Classrooms)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Hashstudioz (2024), AIP (2025), Eappen (2025)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Дизайн и реализация физических сред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Средняя</w:t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Интеграция AI/IoT/6G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Journalijsra (2025), IJACSA (2024)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Конвергентные технологии будущего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Средняя</w:t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Наблюдение: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Технические исследования часто фокусируются на "как сделать", но недостаточно анализируют "почему это работает" с педагогической точки зрения.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1.3 Исследования нормативно-правовых и безопасности вопросов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Arial" w:cs="Arial" w:eastAsia="Arial" w:hAnsi="Arial"/>
          <w:color w:val="1f2328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Юридическая и нормативная направленность</w:t>
      </w:r>
      <w:r w:rsidDel="00000000" w:rsidR="00000000" w:rsidRPr="00000000">
        <w:rPr>
          <w:rtl w:val="0"/>
        </w:rPr>
      </w:r>
    </w:p>
    <w:tbl>
      <w:tblPr>
        <w:tblStyle w:val="Table3"/>
        <w:tblW w:w="97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0"/>
        <w:gridCol w:w="1950"/>
        <w:gridCol w:w="2325"/>
        <w:gridCol w:w="3405"/>
        <w:tblGridChange w:id="0">
          <w:tblGrid>
            <w:gridCol w:w="2070"/>
            <w:gridCol w:w="1950"/>
            <w:gridCol w:w="2325"/>
            <w:gridCol w:w="3405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Источник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Юрисдикция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Основной фокус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Применимость к РФ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GDPR Advisor (2024)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ЕС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Требования GDPR  для IoT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Средняя - требует адаптации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Episensor (2024)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Интернациональная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Лучшие практики защиты данных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Высокая - универсальные принципы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Bulletproof (2025)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ЕС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Третья сторона безопасности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Средняя - контекстуальная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Федеральный закон №152 о персональных данных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РФ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Защита персональных данных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Высокая - прямое применение</w:t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Критическое замечание: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И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сточник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о безопасности сосредоточены на GDPR, российское законодательство может име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ть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специфические требования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1.4 Исследования протоколов и стандартов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lineRule="auto"/>
        <w:ind w:left="0" w:right="220" w:firstLine="0"/>
        <w:rPr>
          <w:rFonts w:ascii="Times New Roman" w:cs="Times New Roman" w:eastAsia="Times New Roman" w:hAnsi="Times New Roman"/>
          <w:b w:val="1"/>
          <w:bCs w:val="1"/>
          <w:color w:val="1f2328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1f2328"/>
          <w:sz w:val="28"/>
          <w:szCs w:val="28"/>
          <w:rtl w:val="0"/>
        </w:rPr>
        <w:t xml:space="preserve">Техническая стандартизация</w:t>
      </w:r>
    </w:p>
    <w:tbl>
      <w:tblPr>
        <w:tblStyle w:val="Table4"/>
        <w:tblW w:w="100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1920"/>
        <w:gridCol w:w="3060"/>
        <w:gridCol w:w="3495"/>
        <w:tblGridChange w:id="0">
          <w:tblGrid>
            <w:gridCol w:w="1560"/>
            <w:gridCol w:w="1920"/>
            <w:gridCol w:w="3060"/>
            <w:gridCol w:w="3495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240" w:lineRule="auto"/>
              <w:jc w:val="center"/>
              <w:rPr>
                <w:rFonts w:ascii="Arial" w:cs="Arial" w:eastAsia="Arial" w:hAnsi="Arial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1f2328"/>
                <w:rtl w:val="0"/>
              </w:rPr>
              <w:t xml:space="preserve">Протокол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40" w:lineRule="auto"/>
              <w:jc w:val="center"/>
              <w:rPr>
                <w:rFonts w:ascii="Arial" w:cs="Arial" w:eastAsia="Arial" w:hAnsi="Arial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1f2328"/>
                <w:rtl w:val="0"/>
              </w:rPr>
              <w:t xml:space="preserve">Ключевые источники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240" w:lineRule="auto"/>
              <w:jc w:val="center"/>
              <w:rPr>
                <w:rFonts w:ascii="Arial" w:cs="Arial" w:eastAsia="Arial" w:hAnsi="Arial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1f2328"/>
                <w:rtl w:val="0"/>
              </w:rPr>
              <w:t xml:space="preserve">Применение в образовании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240" w:lineRule="auto"/>
              <w:jc w:val="center"/>
              <w:rPr>
                <w:rFonts w:ascii="Arial" w:cs="Arial" w:eastAsia="Arial" w:hAnsi="Arial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1f2328"/>
                <w:rtl w:val="0"/>
              </w:rPr>
              <w:t xml:space="preserve">Ограничения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240" w:lineRule="auto"/>
              <w:rPr>
                <w:rFonts w:ascii="Arial" w:cs="Arial" w:eastAsia="Arial" w:hAnsi="Arial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1f2328"/>
                <w:rtl w:val="0"/>
              </w:rPr>
              <w:t xml:space="preserve">MQTT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AllPCB (2025), EMQX (2024)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Обмен сообщений в реальном времени, облачные вычисления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Требует TCP/IP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240" w:lineRule="auto"/>
              <w:rPr>
                <w:rFonts w:ascii="Arial" w:cs="Arial" w:eastAsia="Arial" w:hAnsi="Arial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1f2328"/>
                <w:rtl w:val="0"/>
              </w:rPr>
              <w:t xml:space="preserve">CoAP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EMQX (2024), AllPCB (2025)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Устройства с ограниченным доступом, сенсорные сети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Низкое энергопотребление но есть ограничения связанные с UDP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240" w:lineRule="auto"/>
              <w:rPr>
                <w:rFonts w:ascii="Arial" w:cs="Arial" w:eastAsia="Arial" w:hAnsi="Arial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1f2328"/>
                <w:rtl w:val="0"/>
              </w:rPr>
              <w:t xml:space="preserve">ZigBee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EMQX (2024, 2025)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Ячеистая сеть, 254 устройства на ведущее устройство</w:t>
            </w:r>
          </w:p>
          <w:p w:rsidR="00000000" w:rsidDel="00000000" w:rsidP="00000000" w:rsidRDefault="00000000" w:rsidRPr="00000000" w14:paraId="0000006D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Малая область действия (10-100 метров)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240" w:lineRule="auto"/>
              <w:rPr>
                <w:rFonts w:ascii="Arial" w:cs="Arial" w:eastAsia="Arial" w:hAnsi="Arial"/>
                <w:b w:val="1"/>
                <w:bCs w:val="1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1f2328"/>
                <w:rtl w:val="0"/>
              </w:rPr>
              <w:t xml:space="preserve">6G/5G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Journalijsra (2025)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Маленькая задержка, высокая пропускная способность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240" w:lineRule="auto"/>
              <w:rPr>
                <w:rFonts w:ascii="Arial" w:cs="Arial" w:eastAsia="Arial" w:hAnsi="Arial"/>
                <w:color w:val="1f2328"/>
              </w:rPr>
            </w:pPr>
            <w:r w:rsidDel="00000000" w:rsidR="00000000" w:rsidRPr="00000000">
              <w:rPr>
                <w:rFonts w:ascii="Arial" w:cs="Arial" w:eastAsia="Arial" w:hAnsi="Arial"/>
                <w:color w:val="1f2328"/>
                <w:rtl w:val="0"/>
              </w:rPr>
              <w:t xml:space="preserve">Инфраструктурные требования</w:t>
            </w:r>
          </w:p>
        </w:tc>
      </w:tr>
    </w:tbl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Вывод: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Выбор протокола зависит от специфики реализации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диного "оптимального" протокола не существует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2. СОПОСТАВИТЕЛЬНЫЙ АНАЛИЗ ПО КЛЮЧЕВЫМ ИЗМЕРЕНИЯМ</w:t>
      </w:r>
    </w:p>
    <w:p w:rsidR="00000000" w:rsidDel="00000000" w:rsidP="00000000" w:rsidRDefault="00000000" w:rsidRPr="00000000" w14:paraId="00000076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2.1 Измерение 1: Географический контекст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Распределение исследований: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Глобальные (универсальные):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40%</w:t>
        <w:br w:type="textWrapping"/>
        <w:t xml:space="preserve">Евроазиатские (GDPR-ориентированные):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25%</w:t>
        <w:br w:type="textWrapping"/>
        <w:t xml:space="preserve">Азиатско-Тихоокеанские: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20%</w:t>
        <w:br w:type="textWrapping"/>
        <w:t xml:space="preserve">Российские/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постсоветские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10%</w:t>
        <w:br w:type="textWrapping"/>
        <w:t xml:space="preserve">Африканские/развивающиеся: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5%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Критическое наблюдение: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Серьезный дисбаланс в пользу развитых стран. Российские исследования представлены недостаточно. Выводы из западного контекста могут не применяться напрямую к российским условиям (доступность интернета, бюджеты учреждений, культурные особенности)</w:t>
      </w:r>
    </w:p>
    <w:p w:rsidR="00000000" w:rsidDel="00000000" w:rsidP="00000000" w:rsidRDefault="00000000" w:rsidRPr="00000000" w14:paraId="0000007B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2.2 Измерение 2: Уровень образования</w:t>
      </w:r>
    </w:p>
    <w:p w:rsidR="00000000" w:rsidDel="00000000" w:rsidP="00000000" w:rsidRDefault="00000000" w:rsidRPr="00000000" w14:paraId="0000007C">
      <w:pPr>
        <w:pStyle w:val="Heading3"/>
        <w:rPr>
          <w:rFonts w:ascii="Times New Roman" w:cs="Times New Roman" w:eastAsia="Times New Roman" w:hAnsi="Times New Roman"/>
          <w:b w:val="0"/>
          <w:bCs w:val="0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2025"/>
        <w:gridCol w:w="2745"/>
        <w:gridCol w:w="2895"/>
        <w:tblGridChange w:id="0">
          <w:tblGrid>
            <w:gridCol w:w="2670"/>
            <w:gridCol w:w="2025"/>
            <w:gridCol w:w="2745"/>
            <w:gridCol w:w="2895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Style w:val="Heading3"/>
              <w:spacing w:after="240" w:before="0" w:lineRule="auto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Уровень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Style w:val="Heading3"/>
              <w:spacing w:after="240" w:before="0" w:lineRule="auto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Количество исследований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Style w:val="Heading3"/>
              <w:spacing w:after="240" w:before="0" w:lineRule="auto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Основной фокус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Style w:val="Heading3"/>
              <w:spacing w:after="240" w:before="0" w:lineRule="auto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Пробелы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Начальное школьное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15%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Игровое обучение, безопасность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Мало продолжительных исследований</w:t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Среднее образование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30%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Персонализация, вовлеченность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Недостаток исследований в сельской местности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Высшее образование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45%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Системная интеграция, управление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Хорошо изучено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Профессиональное / корпоративное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10%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Специализированное обучение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000000"/>
                <w:sz w:val="24"/>
                <w:szCs w:val="24"/>
                <w:rtl w:val="0"/>
              </w:rPr>
              <w:t xml:space="preserve">Очень мало исследований</w:t>
            </w:r>
          </w:p>
        </w:tc>
      </w:tr>
    </w:tbl>
    <w:p w:rsidR="00000000" w:rsidDel="00000000" w:rsidP="00000000" w:rsidRDefault="00000000" w:rsidRPr="00000000" w14:paraId="00000091">
      <w:pPr>
        <w:pStyle w:val="Heading3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Вывод: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Высшее образование доминирует в литературе, что может привести к переносу университетских моделей на школьные учреждения без адаптации.</w:t>
      </w:r>
    </w:p>
    <w:p w:rsidR="00000000" w:rsidDel="00000000" w:rsidP="00000000" w:rsidRDefault="00000000" w:rsidRPr="00000000" w14:paraId="00000092">
      <w:pPr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2.3 Измерение 4: Основные тематические направления исследований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Педагогические результаты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- Персонализированное обучение (повторяется 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большинстве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работ) - Вовлеченность студентов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- Адаптивное обучение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- Сотрудничество и коммуникация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Согласованность: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исследования подтверждают позитивное влияние на эти показатели, хотя размеры эффектов варьируются.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Управленческие и административные аспекты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- Управление ресурсами (энергия, бюджет) - Автоматизация процессов - Аналитика для принятия решений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Противоречия: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Только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часть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исследований предоставляют конкретные цифры экономии. Большинство работ предположительны ("может привести к экономии").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Технические и инфраструктурные вызовы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- Совместимость устройств - Масштабируемость систем- Требования к пропускной способности  - Энергоэффективность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Вывод: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Хорошо документировано, но предложений по решению меньше, чем описаний проблем.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Безопасность, конфиденциальность и этика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- Защита данных - Конфиденциальность учащихся - Этические проблемы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Критическое замечание: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Этические аспекты недостаточно исследованы, особенно вопросы о праве на приватность детей и соглас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ии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родителей.</w:t>
      </w:r>
    </w:p>
    <w:p w:rsidR="00000000" w:rsidDel="00000000" w:rsidP="00000000" w:rsidRDefault="00000000" w:rsidRPr="00000000" w14:paraId="0000009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Heading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3. АНАЛИЗ СОГЛАСОВАННОСТИ И ПРОТИВОРЕЧИВОСТИ</w:t>
      </w:r>
    </w:p>
    <w:p w:rsidR="00000000" w:rsidDel="00000000" w:rsidP="00000000" w:rsidRDefault="00000000" w:rsidRPr="00000000" w14:paraId="000000A1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3.1 Точки консенсуса (полное согласие)</w:t>
      </w:r>
    </w:p>
    <w:tbl>
      <w:tblPr>
        <w:tblStyle w:val="Table6"/>
        <w:tblW w:w="99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75"/>
        <w:gridCol w:w="3135"/>
        <w:gridCol w:w="3735"/>
        <w:tblGridChange w:id="0">
          <w:tblGrid>
            <w:gridCol w:w="3075"/>
            <w:gridCol w:w="3135"/>
            <w:gridCol w:w="3735"/>
          </w:tblGrid>
        </w:tblGridChange>
      </w:tblGrid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Style w:val="Heading3"/>
              <w:spacing w:after="240" w:before="0" w:lineRule="auto"/>
              <w:jc w:val="center"/>
              <w:rPr>
                <w:rFonts w:ascii="Times New Roman" w:cs="Times New Roman" w:eastAsia="Times New Roman" w:hAnsi="Times New Roman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sz w:val="24"/>
                <w:szCs w:val="24"/>
                <w:rtl w:val="0"/>
              </w:rPr>
              <w:t xml:space="preserve">Утверждение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Style w:val="Heading3"/>
              <w:spacing w:after="240" w:before="0" w:lineRule="auto"/>
              <w:jc w:val="center"/>
              <w:rPr>
                <w:rFonts w:ascii="Times New Roman" w:cs="Times New Roman" w:eastAsia="Times New Roman" w:hAnsi="Times New Roman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sz w:val="24"/>
                <w:szCs w:val="24"/>
                <w:rtl w:val="0"/>
              </w:rPr>
              <w:t xml:space="preserve">Количество источников, подтверждающих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Style w:val="Heading3"/>
              <w:spacing w:after="240" w:before="0" w:lineRule="auto"/>
              <w:jc w:val="center"/>
              <w:rPr>
                <w:rFonts w:ascii="Times New Roman" w:cs="Times New Roman" w:eastAsia="Times New Roman" w:hAnsi="Times New Roman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sz w:val="24"/>
                <w:szCs w:val="24"/>
                <w:rtl w:val="0"/>
              </w:rPr>
              <w:t xml:space="preserve">Уровень доказательности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IoT может повысить персонализацию обучения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48/50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Очень высокий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Вовлеченность студентов может улучшиться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45/50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Очень высокий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Требуется переподготовка преподавателей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40/50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Высокий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Безопасность данных является критическим вызовом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38/50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Высокий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Интеграция IoT требует изменений в управлении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35/50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  <w:rtl w:val="0"/>
              </w:rPr>
              <w:t xml:space="preserve">Средний-Высокий</w:t>
            </w:r>
          </w:p>
          <w:p w:rsidR="00000000" w:rsidDel="00000000" w:rsidP="00000000" w:rsidRDefault="00000000" w:rsidRPr="00000000" w14:paraId="000000B4">
            <w:pPr>
              <w:pStyle w:val="Heading3"/>
              <w:spacing w:after="240" w:before="0" w:lineRule="auto"/>
              <w:rPr>
                <w:rFonts w:ascii="Times New Roman" w:cs="Times New Roman" w:eastAsia="Times New Roman" w:hAnsi="Times New Roman"/>
                <w:b w:val="0"/>
                <w:bCs w:val="0"/>
                <w:color w:val="1f2328"/>
                <w:sz w:val="24"/>
                <w:szCs w:val="24"/>
              </w:rPr>
            </w:pPr>
            <w:bookmarkStart w:colFirst="0" w:colLast="0" w:name="_heading=h.kc7noctw1dqw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Style w:val="Heading3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3.2 Противоречивые выводы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9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2640"/>
        <w:gridCol w:w="2460"/>
        <w:gridCol w:w="2955"/>
        <w:tblGridChange w:id="0">
          <w:tblGrid>
            <w:gridCol w:w="1845"/>
            <w:gridCol w:w="2640"/>
            <w:gridCol w:w="2460"/>
            <w:gridCol w:w="295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Вопрос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Позиция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Позиция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240" w:lineRule="auto"/>
              <w:jc w:val="center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1f2328"/>
                <w:rtl w:val="0"/>
              </w:rPr>
              <w:t xml:space="preserve">Разрешение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Нужна ли облачная архитектура?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Да, для масштабируемости 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Передовые вычисления предпочтительнее 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Зависит от масштаба и требований к латентности</w:t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Какой протокол выбрать?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MQTT универсален 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CoAP (Constrained Application Protocol) для устройств ограниченной мощности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Выбор зависит от специфических требований</w:t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Оценка на основе ИИ лучше?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Да, более персонализировано 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Вносит новые предубеждения 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after="240" w:lineRule="auto"/>
              <w:rPr>
                <w:rFonts w:ascii="Times New Roman" w:cs="Times New Roman" w:eastAsia="Times New Roman" w:hAnsi="Times New Roman"/>
                <w:color w:val="1f23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2328"/>
                <w:rtl w:val="0"/>
              </w:rPr>
              <w:t xml:space="preserve">Требуется парадигма "ИИ + человек"</w:t>
            </w:r>
          </w:p>
        </w:tc>
      </w:tr>
    </w:tbl>
    <w:p w:rsidR="00000000" w:rsidDel="00000000" w:rsidP="00000000" w:rsidRDefault="00000000" w:rsidRPr="00000000" w14:paraId="000000C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Style w:val="Heading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4. АНАЛИЗ КАЧЕСТВА И РЕЛЕВАНТНОСТИ ИСТОЧНИКОВ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Критерии: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Опубликованы в рецензируемых журналах (Scopus/WoS/SINTA)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Методология четко описана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Большой размер выборки или высокая степень систематизации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Актуальны (опубликованы не более 5 лет назад)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Рекомендуемые источники: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hanging="480"/>
        <w:jc w:val="left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Alfoudari et al. (2021)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Систематическое рецензирование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105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Почему: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Самый полный обзор социально-технологических вызовов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hanging="480"/>
        <w:jc w:val="left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Ataker et al. (2024)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- Meta-analysis, 13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журнал IJEET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Почему: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Количественное доказательство эффективности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hanging="480"/>
        <w:jc w:val="left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Journalijsra (2025)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- AI+IoT+6G, 15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рецензированных статей по теме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Почему: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Самый современный обзор интеграции технологий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hanging="480"/>
        <w:jc w:val="left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Emerald Insight (2023)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Обзор высшего образования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11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240" w:lineRule="auto"/>
        <w:ind w:left="48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Почему: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окусируется на высшем образовании</w:t>
      </w:r>
    </w:p>
    <w:p w:rsidR="00000000" w:rsidDel="00000000" w:rsidP="00000000" w:rsidRDefault="00000000" w:rsidRPr="00000000" w14:paraId="000000D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Style w:val="Heading2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. ЗАКЛЮЧЕНИЕ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18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Анализ научных источников показывает, что:</w:t>
      </w:r>
    </w:p>
    <w:p w:rsidR="00000000" w:rsidDel="00000000" w:rsidP="00000000" w:rsidRDefault="00000000" w:rsidRPr="00000000" w14:paraId="000000DF">
      <w:pPr>
        <w:numPr>
          <w:ilvl w:val="0"/>
          <w:numId w:val="1"/>
        </w:numPr>
        <w:ind w:left="480" w:hanging="48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Консенсус существует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 основным преимуществам IoT в образовании (персонализация, вовлеченность, улучшение управления)</w:t>
      </w:r>
    </w:p>
    <w:p w:rsidR="00000000" w:rsidDel="00000000" w:rsidP="00000000" w:rsidRDefault="00000000" w:rsidRPr="00000000" w14:paraId="000000E0">
      <w:pPr>
        <w:numPr>
          <w:ilvl w:val="0"/>
          <w:numId w:val="1"/>
        </w:numPr>
        <w:ind w:left="480" w:hanging="48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Противоречивость наблюдается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вопросах экономической целесообразности, оптимальной архитектуры и универсальности решений</w:t>
      </w:r>
    </w:p>
    <w:p w:rsidR="00000000" w:rsidDel="00000000" w:rsidP="00000000" w:rsidRDefault="00000000" w:rsidRPr="00000000" w14:paraId="000000E1">
      <w:pPr>
        <w:numPr>
          <w:ilvl w:val="0"/>
          <w:numId w:val="1"/>
        </w:numPr>
        <w:ind w:left="480" w:hanging="48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Серьезные пробелы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исследованиях применимости к различным контекстам (сельская школа, развивающиеся страны, начальное образование), долгосрочных эффектах и вопросах справедливости</w:t>
      </w:r>
    </w:p>
    <w:p w:rsidR="00000000" w:rsidDel="00000000" w:rsidP="00000000" w:rsidRDefault="00000000" w:rsidRPr="00000000" w14:paraId="000000E2">
      <w:pPr>
        <w:numPr>
          <w:ilvl w:val="0"/>
          <w:numId w:val="1"/>
        </w:numPr>
        <w:ind w:left="480" w:hanging="48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Дисбаланс в литературе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пользу других стран, высшего образования и позитивных результатов</w:t>
      </w:r>
    </w:p>
    <w:p w:rsidR="00000000" w:rsidDel="00000000" w:rsidP="00000000" w:rsidRDefault="00000000" w:rsidRPr="00000000" w14:paraId="000000E3">
      <w:pPr>
        <w:numPr>
          <w:ilvl w:val="0"/>
          <w:numId w:val="1"/>
        </w:numPr>
        <w:ind w:left="480" w:hanging="48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Российский контекст недостаточно исследован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- требуется адаптированная к нашим условиям науч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ная база</w:t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2"/>
      <w:numFmt w:val="decimal"/>
      <w:lvlText w:val="%1."/>
      <w:lvlJc w:val="left"/>
      <w:pPr>
        <w:ind w:left="480" w:hanging="480"/>
      </w:pPr>
      <w:rPr/>
    </w:lvl>
    <w:lvl w:ilvl="1">
      <w:start w:val="2"/>
      <w:numFmt w:val="decimal"/>
      <w:lvlText w:val="%2."/>
      <w:lvlJc w:val="left"/>
      <w:pPr>
        <w:ind w:left="1200" w:hanging="480"/>
      </w:pPr>
      <w:rPr/>
    </w:lvl>
    <w:lvl w:ilvl="2">
      <w:start w:val="2"/>
      <w:numFmt w:val="decimal"/>
      <w:lvlText w:val="%3."/>
      <w:lvlJc w:val="left"/>
      <w:pPr>
        <w:ind w:left="1920" w:hanging="480"/>
      </w:pPr>
      <w:rPr/>
    </w:lvl>
    <w:lvl w:ilvl="3">
      <w:start w:val="2"/>
      <w:numFmt w:val="decimal"/>
      <w:lvlText w:val="%4."/>
      <w:lvlJc w:val="left"/>
      <w:pPr>
        <w:ind w:left="2640" w:hanging="480"/>
      </w:pPr>
      <w:rPr/>
    </w:lvl>
    <w:lvl w:ilvl="4">
      <w:start w:val="2"/>
      <w:numFmt w:val="decimal"/>
      <w:lvlText w:val="%5."/>
      <w:lvlJc w:val="left"/>
      <w:pPr>
        <w:ind w:left="3360" w:hanging="480"/>
      </w:pPr>
      <w:rPr/>
    </w:lvl>
    <w:lvl w:ilvl="5">
      <w:start w:val="2"/>
      <w:numFmt w:val="decimal"/>
      <w:lvlText w:val="%6."/>
      <w:lvlJc w:val="left"/>
      <w:pPr>
        <w:ind w:left="4080" w:hanging="480"/>
      </w:pPr>
      <w:rPr/>
    </w:lvl>
    <w:lvl w:ilvl="6">
      <w:start w:val="2"/>
      <w:numFmt w:val="decimal"/>
      <w:lvlText w:val="%7."/>
      <w:lvlJc w:val="left"/>
      <w:pPr>
        <w:ind w:left="4800" w:hanging="48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3"/>
      <w:numFmt w:val="decimal"/>
      <w:lvlText w:val="%1."/>
      <w:lvlJc w:val="left"/>
      <w:pPr>
        <w:ind w:left="480" w:hanging="480"/>
      </w:pPr>
      <w:rPr/>
    </w:lvl>
    <w:lvl w:ilvl="1">
      <w:start w:val="3"/>
      <w:numFmt w:val="decimal"/>
      <w:lvlText w:val="%2."/>
      <w:lvlJc w:val="left"/>
      <w:pPr>
        <w:ind w:left="1200" w:hanging="480"/>
      </w:pPr>
      <w:rPr/>
    </w:lvl>
    <w:lvl w:ilvl="2">
      <w:start w:val="3"/>
      <w:numFmt w:val="decimal"/>
      <w:lvlText w:val="%3."/>
      <w:lvlJc w:val="left"/>
      <w:pPr>
        <w:ind w:left="1920" w:hanging="480"/>
      </w:pPr>
      <w:rPr/>
    </w:lvl>
    <w:lvl w:ilvl="3">
      <w:start w:val="3"/>
      <w:numFmt w:val="decimal"/>
      <w:lvlText w:val="%4."/>
      <w:lvlJc w:val="left"/>
      <w:pPr>
        <w:ind w:left="2640" w:hanging="480"/>
      </w:pPr>
      <w:rPr/>
    </w:lvl>
    <w:lvl w:ilvl="4">
      <w:start w:val="3"/>
      <w:numFmt w:val="decimal"/>
      <w:lvlText w:val="%5."/>
      <w:lvlJc w:val="left"/>
      <w:pPr>
        <w:ind w:left="3360" w:hanging="480"/>
      </w:pPr>
      <w:rPr/>
    </w:lvl>
    <w:lvl w:ilvl="5">
      <w:start w:val="3"/>
      <w:numFmt w:val="decimal"/>
      <w:lvlText w:val="%6."/>
      <w:lvlJc w:val="left"/>
      <w:pPr>
        <w:ind w:left="4080" w:hanging="480"/>
      </w:pPr>
      <w:rPr/>
    </w:lvl>
    <w:lvl w:ilvl="6">
      <w:start w:val="3"/>
      <w:numFmt w:val="decimal"/>
      <w:lvlText w:val="%7."/>
      <w:lvlJc w:val="left"/>
      <w:pPr>
        <w:ind w:left="4800" w:hanging="48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4"/>
      <w:numFmt w:val="decimal"/>
      <w:lvlText w:val="%1."/>
      <w:lvlJc w:val="left"/>
      <w:pPr>
        <w:ind w:left="480" w:hanging="480"/>
      </w:pPr>
      <w:rPr/>
    </w:lvl>
    <w:lvl w:ilvl="1">
      <w:start w:val="4"/>
      <w:numFmt w:val="decimal"/>
      <w:lvlText w:val="%2."/>
      <w:lvlJc w:val="left"/>
      <w:pPr>
        <w:ind w:left="1200" w:hanging="480"/>
      </w:pPr>
      <w:rPr/>
    </w:lvl>
    <w:lvl w:ilvl="2">
      <w:start w:val="4"/>
      <w:numFmt w:val="decimal"/>
      <w:lvlText w:val="%3."/>
      <w:lvlJc w:val="left"/>
      <w:pPr>
        <w:ind w:left="1920" w:hanging="480"/>
      </w:pPr>
      <w:rPr/>
    </w:lvl>
    <w:lvl w:ilvl="3">
      <w:start w:val="4"/>
      <w:numFmt w:val="decimal"/>
      <w:lvlText w:val="%4."/>
      <w:lvlJc w:val="left"/>
      <w:pPr>
        <w:ind w:left="2640" w:hanging="480"/>
      </w:pPr>
      <w:rPr/>
    </w:lvl>
    <w:lvl w:ilvl="4">
      <w:start w:val="4"/>
      <w:numFmt w:val="decimal"/>
      <w:lvlText w:val="%5."/>
      <w:lvlJc w:val="left"/>
      <w:pPr>
        <w:ind w:left="3360" w:hanging="480"/>
      </w:pPr>
      <w:rPr/>
    </w:lvl>
    <w:lvl w:ilvl="5">
      <w:start w:val="4"/>
      <w:numFmt w:val="decimal"/>
      <w:lvlText w:val="%6."/>
      <w:lvlJc w:val="left"/>
      <w:pPr>
        <w:ind w:left="4080" w:hanging="480"/>
      </w:pPr>
      <w:rPr/>
    </w:lvl>
    <w:lvl w:ilvl="6">
      <w:start w:val="4"/>
      <w:numFmt w:val="decimal"/>
      <w:lvlText w:val="%7."/>
      <w:lvlJc w:val="left"/>
      <w:pPr>
        <w:ind w:left="4800" w:hanging="48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"/>
      </w:rPr>
    </w:rPrDefault>
    <w:pPrDefault>
      <w:pPr>
        <w:spacing w:after="200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4f81bd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4f81bd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spacing w:after="240" w:before="480" w:lineRule="auto"/>
      <w:jc w:val="center"/>
    </w:pPr>
    <w:rPr>
      <w:rFonts w:ascii="Calibri" w:cs="Calibri" w:eastAsia="Calibri" w:hAnsi="Calibri"/>
      <w:b w:val="1"/>
      <w:bCs w:val="1"/>
      <w:color w:val="335b8a"/>
      <w:sz w:val="36"/>
      <w:szCs w:val="36"/>
    </w:rPr>
  </w:style>
  <w:style w:type="paragraph" w:styleId="BodyText">
    <w:name w:val="Body Text"/>
    <w:basedOn w:val="Normal"/>
    <w:link w:val="BodyTextChar"/>
    <w:qFormat w:val="1"/>
    <w:pPr>
      <w:spacing w:after="180" w:before="180"/>
    </w:pPr>
  </w:style>
  <w:style w:type="paragraph" w:styleId="FirstParagraph" w:customStyle="1">
    <w:name w:val="First Paragraph"/>
    <w:basedOn w:val="BodyText"/>
    <w:next w:val="BodyText"/>
    <w:qFormat w:val="1"/>
  </w:style>
  <w:style w:type="paragraph" w:styleId="Compact" w:customStyle="1">
    <w:name w:val="Compact"/>
    <w:basedOn w:val="BodyText"/>
    <w:qFormat w:val="1"/>
    <w:pPr>
      <w:spacing w:after="36" w:before="36"/>
    </w:pPr>
  </w:style>
  <w:style w:type="paragraph" w:styleId="Author" w:customStyle="1">
    <w:name w:val="Author"/>
    <w:next w:val="BodyText"/>
    <w:qFormat w:val="1"/>
    <w:pPr>
      <w:keepNext w:val="1"/>
      <w:keepLines w:val="1"/>
      <w:jc w:val="center"/>
    </w:pPr>
  </w:style>
  <w:style w:type="paragraph" w:styleId="Date">
    <w:name w:val="Date"/>
    <w:next w:val="BodyText"/>
    <w:qFormat w:val="1"/>
    <w:pPr>
      <w:keepNext w:val="1"/>
      <w:keepLines w:val="1"/>
      <w:jc w:val="center"/>
    </w:pPr>
  </w:style>
  <w:style w:type="paragraph" w:styleId="Abstract" w:customStyle="1">
    <w:name w:val="Abstract"/>
    <w:basedOn w:val="Normal"/>
    <w:next w:val="BodyText"/>
    <w:qFormat w:val="1"/>
    <w:pPr>
      <w:keepNext w:val="1"/>
      <w:keepLines w:val="1"/>
      <w:spacing w:after="300" w:before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 w:val="1"/>
    <w:pPr/>
    <w:rPr/>
  </w:style>
  <w:style w:type="paragraph" w:styleId="BlockText">
    <w:name w:val="Block Text"/>
    <w:basedOn w:val="BodyText"/>
    <w:next w:val="BodyText"/>
    <w:uiPriority w:val="9"/>
    <w:unhideWhenUsed w:val="1"/>
    <w:qFormat w:val="1"/>
    <w:pPr>
      <w:spacing w:after="100" w:before="100"/>
      <w:ind w:firstLine="0"/>
    </w:pPr>
    <w:rPr>
      <w:rFonts w:asciiTheme="majorHAnsi" w:cstheme="majorBidi" w:eastAsiaTheme="majorEastAsia" w:hAnsiTheme="majorHAnsi"/>
      <w:bCs w:val="1"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 w:val="1"/>
    <w:qFormat w:val="1"/>
  </w:style>
  <w:style w:type="character" w:styleId="DefaultParagraphFont" w:default="1">
    <w:name w:val="Default Paragraph Font"/>
    <w:semiHidden w:val="1"/>
    <w:unhideWhenUsed w:val="1"/>
  </w:style>
  <w:style w:type="table" w:styleId="TableNormal" w:default="1">
    <w:name w:val="Normal Table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DefinitionTerm" w:customStyle="1">
    <w:name w:val="Definition Term"/>
    <w:basedOn w:val="Normal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"/>
  </w:style>
  <w:style w:type="paragraph" w:styleId="Caption">
    <w:name w:val="Caption"/>
    <w:basedOn w:val="Normal"/>
    <w:link w:val="BodyTextChar"/>
    <w:pPr>
      <w:spacing w:after="120" w:before="0"/>
    </w:pPr>
    <w:rPr>
      <w:i w:val="1"/>
    </w:rPr>
  </w:style>
  <w:style w:type="paragraph" w:styleId="TableCaption" w:customStyle="1">
    <w:name w:val="Table Caption"/>
    <w:basedOn w:val="Caption"/>
    <w:pPr>
      <w:keepNext w:val="1"/>
    </w:pPr>
  </w:style>
  <w:style w:type="paragraph" w:styleId="ImageCaption" w:customStyle="1">
    <w:name w:val="Image Caption"/>
    <w:basedOn w:val="Caption"/>
  </w:style>
  <w:style w:type="paragraph" w:styleId="Figure" w:customStyle="1">
    <w:name w:val="Figure"/>
    <w:basedOn w:val="Normal"/>
  </w:style>
  <w:style w:type="paragraph" w:styleId="FigureWithCaption" w:customStyle="1">
    <w:name w:val="Figure with Caption"/>
    <w:basedOn w:val="Figure"/>
    <w:pPr>
      <w:keepNext w:val="1"/>
    </w:pPr>
  </w:style>
  <w:style w:type="character" w:styleId="BodyTextChar" w:customStyle="1">
    <w:name w:val="Body Text Char"/>
    <w:basedOn w:val="DefaultParagraphFont"/>
    <w:link w:val="BodyText"/>
  </w:style>
  <w:style w:type="character" w:styleId="VerbatimChar" w:customStyle="1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 w:val="1"/>
    <w:qFormat w:val="1"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val="365f91" w:themeColor="accent1" w:themeShade="0000BF"/>
    </w:rPr>
  </w:style>
  <w:style w:type="paragraph" w:styleId="SourceCode" w:customStyle="1">
    <w:name w:val="Source Code"/>
    <w:basedOn w:val="Normal"/>
    <w:link w:val="VerbatimChar"/>
    <w:pPr>
      <w:wordWrap w:val="0"/>
    </w:pPr>
  </w:style>
  <w:style w:type="character" w:styleId="KeywordTok" w:customStyle="1">
    <w:name w:val="KeywordTok"/>
    <w:basedOn w:val="VerbatimChar"/>
    <w:rPr>
      <w:b w:val="1"/>
      <w:color w:val="007020"/>
    </w:rPr>
  </w:style>
  <w:style w:type="character" w:styleId="DataTypeTok" w:customStyle="1">
    <w:name w:val="DataTypeTok"/>
    <w:basedOn w:val="VerbatimChar"/>
    <w:rPr>
      <w:color w:val="902000"/>
    </w:rPr>
  </w:style>
  <w:style w:type="character" w:styleId="DecValTok" w:customStyle="1">
    <w:name w:val="DecValTok"/>
    <w:basedOn w:val="VerbatimChar"/>
    <w:rPr>
      <w:color w:val="40a070"/>
    </w:rPr>
  </w:style>
  <w:style w:type="character" w:styleId="BaseNTok" w:customStyle="1">
    <w:name w:val="BaseNTok"/>
    <w:basedOn w:val="VerbatimChar"/>
    <w:rPr>
      <w:color w:val="40a070"/>
    </w:rPr>
  </w:style>
  <w:style w:type="character" w:styleId="FloatTok" w:customStyle="1">
    <w:name w:val="FloatTok"/>
    <w:basedOn w:val="VerbatimChar"/>
    <w:rPr>
      <w:color w:val="40a070"/>
    </w:rPr>
  </w:style>
  <w:style w:type="character" w:styleId="ConstantTok" w:customStyle="1">
    <w:name w:val="ConstantTok"/>
    <w:basedOn w:val="VerbatimChar"/>
    <w:rPr>
      <w:color w:val="880000"/>
    </w:rPr>
  </w:style>
  <w:style w:type="character" w:styleId="CharTok" w:customStyle="1">
    <w:name w:val="CharTok"/>
    <w:basedOn w:val="VerbatimChar"/>
    <w:rPr>
      <w:color w:val="4070a0"/>
    </w:rPr>
  </w:style>
  <w:style w:type="character" w:styleId="SpecialCharTok" w:customStyle="1">
    <w:name w:val="SpecialCharTok"/>
    <w:basedOn w:val="VerbatimChar"/>
    <w:rPr>
      <w:color w:val="4070a0"/>
    </w:rPr>
  </w:style>
  <w:style w:type="character" w:styleId="StringTok" w:customStyle="1">
    <w:name w:val="StringTok"/>
    <w:basedOn w:val="VerbatimChar"/>
    <w:rPr>
      <w:color w:val="4070a0"/>
    </w:rPr>
  </w:style>
  <w:style w:type="character" w:styleId="VerbatimStringTok" w:customStyle="1">
    <w:name w:val="VerbatimStringTok"/>
    <w:basedOn w:val="VerbatimChar"/>
    <w:rPr>
      <w:color w:val="4070a0"/>
    </w:rPr>
  </w:style>
  <w:style w:type="character" w:styleId="SpecialStringTok" w:customStyle="1">
    <w:name w:val="SpecialStringTok"/>
    <w:basedOn w:val="VerbatimChar"/>
    <w:rPr>
      <w:color w:val="bb6688"/>
    </w:rPr>
  </w:style>
  <w:style w:type="character" w:styleId="ImportTok" w:customStyle="1">
    <w:name w:val="ImportTok"/>
    <w:basedOn w:val="VerbatimChar"/>
    <w:rPr/>
  </w:style>
  <w:style w:type="character" w:styleId="CommentTok" w:customStyle="1">
    <w:name w:val="CommentTok"/>
    <w:basedOn w:val="VerbatimChar"/>
    <w:rPr>
      <w:i w:val="1"/>
      <w:color w:val="60a0b0"/>
    </w:rPr>
  </w:style>
  <w:style w:type="character" w:styleId="DocumentationTok" w:customStyle="1">
    <w:name w:val="DocumentationTok"/>
    <w:basedOn w:val="VerbatimChar"/>
    <w:rPr>
      <w:i w:val="1"/>
      <w:color w:val="ba2121"/>
    </w:rPr>
  </w:style>
  <w:style w:type="character" w:styleId="AnnotationTok" w:customStyle="1">
    <w:name w:val="AnnotationTok"/>
    <w:basedOn w:val="VerbatimChar"/>
    <w:rPr>
      <w:b w:val="1"/>
      <w:i w:val="1"/>
      <w:color w:val="60a0b0"/>
    </w:rPr>
  </w:style>
  <w:style w:type="character" w:styleId="CommentVarTok" w:customStyle="1">
    <w:name w:val="CommentVarTok"/>
    <w:basedOn w:val="VerbatimChar"/>
    <w:rPr>
      <w:b w:val="1"/>
      <w:i w:val="1"/>
      <w:color w:val="60a0b0"/>
    </w:rPr>
  </w:style>
  <w:style w:type="character" w:styleId="OtherTok" w:customStyle="1">
    <w:name w:val="OtherTok"/>
    <w:basedOn w:val="VerbatimChar"/>
    <w:rPr>
      <w:color w:val="007020"/>
    </w:rPr>
  </w:style>
  <w:style w:type="character" w:styleId="FunctionTok" w:customStyle="1">
    <w:name w:val="FunctionTok"/>
    <w:basedOn w:val="VerbatimChar"/>
    <w:rPr>
      <w:color w:val="06287e"/>
    </w:rPr>
  </w:style>
  <w:style w:type="character" w:styleId="VariableTok" w:customStyle="1">
    <w:name w:val="VariableTok"/>
    <w:basedOn w:val="VerbatimChar"/>
    <w:rPr>
      <w:color w:val="19177c"/>
    </w:rPr>
  </w:style>
  <w:style w:type="character" w:styleId="ControlFlowTok" w:customStyle="1">
    <w:name w:val="ControlFlowTok"/>
    <w:basedOn w:val="VerbatimChar"/>
    <w:rPr>
      <w:b w:val="1"/>
      <w:color w:val="007020"/>
    </w:rPr>
  </w:style>
  <w:style w:type="character" w:styleId="OperatorTok" w:customStyle="1">
    <w:name w:val="OperatorTok"/>
    <w:basedOn w:val="VerbatimChar"/>
    <w:rPr>
      <w:color w:val="666666"/>
    </w:rPr>
  </w:style>
  <w:style w:type="character" w:styleId="BuiltInTok" w:customStyle="1">
    <w:name w:val="BuiltInTok"/>
    <w:basedOn w:val="VerbatimChar"/>
    <w:rPr/>
  </w:style>
  <w:style w:type="character" w:styleId="ExtensionTok" w:customStyle="1">
    <w:name w:val="ExtensionTok"/>
    <w:basedOn w:val="VerbatimChar"/>
    <w:rPr/>
  </w:style>
  <w:style w:type="character" w:styleId="PreprocessorTok" w:customStyle="1">
    <w:name w:val="PreprocessorTok"/>
    <w:basedOn w:val="VerbatimChar"/>
    <w:rPr>
      <w:color w:val="bc7a00"/>
    </w:rPr>
  </w:style>
  <w:style w:type="character" w:styleId="AttributeTok" w:customStyle="1">
    <w:name w:val="AttributeTok"/>
    <w:basedOn w:val="VerbatimChar"/>
    <w:rPr>
      <w:color w:val="7d9029"/>
    </w:rPr>
  </w:style>
  <w:style w:type="character" w:styleId="RegionMarkerTok" w:customStyle="1">
    <w:name w:val="RegionMarkerTok"/>
    <w:basedOn w:val="VerbatimChar"/>
    <w:rPr/>
  </w:style>
  <w:style w:type="character" w:styleId="InformationTok" w:customStyle="1">
    <w:name w:val="InformationTok"/>
    <w:basedOn w:val="VerbatimChar"/>
    <w:rPr>
      <w:b w:val="1"/>
      <w:i w:val="1"/>
      <w:color w:val="60a0b0"/>
    </w:rPr>
  </w:style>
  <w:style w:type="character" w:styleId="WarningTok" w:customStyle="1">
    <w:name w:val="WarningTok"/>
    <w:basedOn w:val="VerbatimChar"/>
    <w:rPr>
      <w:b w:val="1"/>
      <w:i w:val="1"/>
      <w:color w:val="60a0b0"/>
    </w:rPr>
  </w:style>
  <w:style w:type="character" w:styleId="AlertTok" w:customStyle="1">
    <w:name w:val="AlertTok"/>
    <w:basedOn w:val="VerbatimChar"/>
    <w:rPr>
      <w:b w:val="1"/>
      <w:color w:val="ff0000"/>
    </w:rPr>
  </w:style>
  <w:style w:type="character" w:styleId="ErrorTok" w:customStyle="1">
    <w:name w:val="ErrorTok"/>
    <w:basedOn w:val="VerbatimChar"/>
    <w:rPr>
      <w:b w:val="1"/>
      <w:color w:val="ff0000"/>
    </w:rPr>
  </w:style>
  <w:style w:type="character" w:styleId="NormalTok" w:customStyle="1">
    <w:name w:val="NormalTok"/>
    <w:basedOn w:val="VerbatimChar"/>
    <w:rPr/>
  </w:style>
  <w:style w:type="paragraph" w:styleId="Subtitle">
    <w:name w:val="Subtitle"/>
    <w:basedOn w:val="Normal"/>
    <w:next w:val="Normal"/>
    <w:pPr>
      <w:keepNext w:val="1"/>
      <w:keepLines w:val="1"/>
      <w:spacing w:after="240" w:before="240" w:lineRule="auto"/>
      <w:jc w:val="center"/>
    </w:pPr>
    <w:rPr>
      <w:rFonts w:ascii="Calibri" w:cs="Calibri" w:eastAsia="Calibri" w:hAnsi="Calibri"/>
      <w:b w:val="1"/>
      <w:bCs w:val="1"/>
      <w:color w:val="335b8a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  <w:style w:type="table" w:styleId="Table2">
    <w:basedOn w:val="TableNormal"/>
    <w:tblPr>
      <w:tblStyleRowBandSize w:val="1"/>
      <w:tblStyleColBandSize w:val="1"/>
      <w:tblCellMar/>
    </w:tblPr>
  </w:style>
  <w:style w:type="table" w:styleId="Table3">
    <w:basedOn w:val="TableNormal"/>
    <w:tblPr>
      <w:tblStyleRowBandSize w:val="1"/>
      <w:tblStyleColBandSize w:val="1"/>
      <w:tblCellMar/>
    </w:tblPr>
  </w:style>
  <w:style w:type="table" w:styleId="Table4">
    <w:basedOn w:val="TableNormal"/>
    <w:tblPr>
      <w:tblStyleRowBandSize w:val="1"/>
      <w:tblStyleColBandSize w:val="1"/>
      <w:tblCellMar/>
    </w:tblPr>
  </w:style>
  <w:style w:type="table" w:styleId="Table5">
    <w:basedOn w:val="TableNormal"/>
    <w:tblPr>
      <w:tblStyleRowBandSize w:val="1"/>
      <w:tblStyleColBandSize w:val="1"/>
      <w:tblCellMar/>
    </w:tblPr>
  </w:style>
  <w:style w:type="table" w:styleId="Table6">
    <w:basedOn w:val="TableNormal"/>
    <w:tblPr>
      <w:tblStyleRowBandSize w:val="1"/>
      <w:tblStyleColBandSize w:val="1"/>
      <w:tblCellMar/>
    </w:tblPr>
  </w:style>
  <w:style w:type="table" w:styleId="Table7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llX4/Glj1r6G3vxvcArytRH2+w==">CgMxLjAyDmgua2M3bm9jdHcxZHF3OAByITE4VURLNmxpMk4tQTFTWnNYdlhtcjhHb08zb0lwVGpWLQ==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2025-12-25T16:51:55Z</dcterms:created>
</cp:coreProperties>
</file>